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9D71BD" w:rsidRDefault="00F92268" w:rsidP="00850792">
      <w:pPr>
        <w:pStyle w:val="BodyText"/>
        <w:rPr>
          <w:sz w:val="6"/>
          <w:szCs w:val="6"/>
        </w:rPr>
      </w:pPr>
      <w:r w:rsidRPr="009D71B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9D71B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9D71BD" w:rsidRDefault="00F92268" w:rsidP="00F246C7">
            <w:pPr>
              <w:pStyle w:val="RefTableData"/>
            </w:pPr>
            <w:r w:rsidRPr="009D71BD">
              <w:t>Reference number(s)</w:t>
            </w:r>
          </w:p>
        </w:tc>
      </w:tr>
      <w:tr w:rsidR="00F92268" w:rsidRPr="009D71B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ED763F1" w:rsidR="00F92268" w:rsidRPr="009D71BD" w:rsidRDefault="006A5229" w:rsidP="00F246C7">
            <w:pPr>
              <w:pStyle w:val="RefTableHeader"/>
            </w:pPr>
            <w:r w:rsidRPr="009D71BD">
              <w:t>2092-A</w:t>
            </w:r>
          </w:p>
        </w:tc>
      </w:tr>
    </w:tbl>
    <w:p w14:paraId="74FBA5B4" w14:textId="77777777" w:rsidR="00051356" w:rsidRPr="009D71BD" w:rsidRDefault="00051356" w:rsidP="00A672B3">
      <w:pPr>
        <w:pStyle w:val="BodyText"/>
        <w:rPr>
          <w:b/>
          <w:bCs/>
          <w:sz w:val="16"/>
          <w:szCs w:val="16"/>
        </w:rPr>
        <w:sectPr w:rsidR="00051356" w:rsidRPr="009D71BD"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179EFB7" w:rsidR="004B15BB" w:rsidRPr="009D71BD" w:rsidRDefault="006A5229" w:rsidP="007E5C16">
      <w:pPr>
        <w:pStyle w:val="Heading1"/>
      </w:pPr>
      <w:r w:rsidRPr="009D71BD">
        <w:t>Specialty Guideline Management</w:t>
      </w:r>
      <w:r w:rsidRPr="009D71BD">
        <w:br/>
      </w:r>
      <w:proofErr w:type="spellStart"/>
      <w:r w:rsidR="001E7095">
        <w:t>l</w:t>
      </w:r>
      <w:r w:rsidRPr="009D71BD">
        <w:t>anreotide</w:t>
      </w:r>
      <w:proofErr w:type="spellEnd"/>
      <w:r w:rsidRPr="009D71BD">
        <w:t xml:space="preserve"> injection</w:t>
      </w:r>
      <w:r w:rsidR="00193FA2">
        <w:t>-</w:t>
      </w:r>
      <w:proofErr w:type="spellStart"/>
      <w:r w:rsidR="00193FA2" w:rsidRPr="009D71BD">
        <w:t>Somatuline</w:t>
      </w:r>
      <w:proofErr w:type="spellEnd"/>
      <w:r w:rsidR="00193FA2" w:rsidRPr="009D71BD">
        <w:t xml:space="preserve"> Depot</w:t>
      </w:r>
    </w:p>
    <w:p w14:paraId="78861C92" w14:textId="3E5CBCB1" w:rsidR="00203468" w:rsidRPr="009D71BD" w:rsidRDefault="00C64534" w:rsidP="008E0F0D">
      <w:pPr>
        <w:pStyle w:val="Heading2"/>
      </w:pPr>
      <w:r w:rsidRPr="009D71BD">
        <w:t xml:space="preserve">Products Referenced by this </w:t>
      </w:r>
      <w:r w:rsidR="00501602" w:rsidRPr="009D71BD">
        <w:t>Document</w:t>
      </w:r>
    </w:p>
    <w:p w14:paraId="5455152B" w14:textId="5ABD1403" w:rsidR="008E0F0D" w:rsidRPr="009D71BD" w:rsidRDefault="00D82D85" w:rsidP="008B73E8">
      <w:pPr>
        <w:pStyle w:val="BodyText"/>
      </w:pPr>
      <w:r w:rsidRPr="009D71BD">
        <w:t xml:space="preserve">Drugs that are listed in the </w:t>
      </w:r>
      <w:r w:rsidR="000315F1" w:rsidRPr="009D71BD">
        <w:t>following table</w:t>
      </w:r>
      <w:r w:rsidRPr="009D71BD">
        <w:t xml:space="preserve"> include both brand and generic and all dosage forms and strengths unless otherwise stated. </w:t>
      </w:r>
      <w:r w:rsidR="00F262EB" w:rsidRPr="00F262EB">
        <w:t>Over-the-counter (OTC)</w:t>
      </w:r>
      <w:r w:rsidRPr="009D71BD">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C4613E" w:rsidRPr="009D71BD" w14:paraId="158421F8" w14:textId="033DE747" w:rsidTr="00C4613E">
        <w:trPr>
          <w:cantSplit/>
          <w:trHeight w:val="288"/>
          <w:tblHeader/>
        </w:trPr>
        <w:tc>
          <w:tcPr>
            <w:tcW w:w="5385" w:type="dxa"/>
            <w:vAlign w:val="center"/>
          </w:tcPr>
          <w:p w14:paraId="2A27354A" w14:textId="1390179E" w:rsidR="00C4613E" w:rsidRPr="009D71BD" w:rsidRDefault="00C4613E" w:rsidP="00AA1E6A">
            <w:pPr>
              <w:pStyle w:val="TableHeader"/>
            </w:pPr>
            <w:bookmarkStart w:id="0" w:name="_Hlk159603270"/>
            <w:r w:rsidRPr="009D71BD">
              <w:t>Brand Name</w:t>
            </w:r>
          </w:p>
        </w:tc>
        <w:tc>
          <w:tcPr>
            <w:tcW w:w="5385" w:type="dxa"/>
            <w:vAlign w:val="center"/>
          </w:tcPr>
          <w:p w14:paraId="3D342BE1" w14:textId="75F11EF1" w:rsidR="00C4613E" w:rsidRPr="009D71BD" w:rsidRDefault="00C4613E" w:rsidP="00AA1E6A">
            <w:pPr>
              <w:pStyle w:val="TableHeader"/>
            </w:pPr>
            <w:r w:rsidRPr="009D71BD">
              <w:t>Generic Name</w:t>
            </w:r>
          </w:p>
        </w:tc>
      </w:tr>
      <w:tr w:rsidR="00C4613E" w:rsidRPr="009D71BD" w14:paraId="2AD5C02D" w14:textId="69B8FA95" w:rsidTr="00C4613E">
        <w:trPr>
          <w:cantSplit/>
        </w:trPr>
        <w:tc>
          <w:tcPr>
            <w:tcW w:w="5385" w:type="dxa"/>
          </w:tcPr>
          <w:p w14:paraId="2D8FA8E3" w14:textId="50E74461" w:rsidR="00C4613E" w:rsidRPr="009D71BD" w:rsidRDefault="00C4613E" w:rsidP="00E82ABA">
            <w:pPr>
              <w:pStyle w:val="TableDataUnpadded"/>
            </w:pPr>
            <w:proofErr w:type="spellStart"/>
            <w:r w:rsidRPr="009D71BD">
              <w:t>Somatuline</w:t>
            </w:r>
            <w:proofErr w:type="spellEnd"/>
            <w:r w:rsidRPr="009D71BD">
              <w:t xml:space="preserve"> Depot</w:t>
            </w:r>
          </w:p>
        </w:tc>
        <w:tc>
          <w:tcPr>
            <w:tcW w:w="5385" w:type="dxa"/>
          </w:tcPr>
          <w:p w14:paraId="7E26A004" w14:textId="2E17E302" w:rsidR="00C4613E" w:rsidRPr="009D71BD" w:rsidRDefault="00C4613E" w:rsidP="00E82ABA">
            <w:pPr>
              <w:pStyle w:val="TableDataUnpadded"/>
            </w:pPr>
            <w:proofErr w:type="spellStart"/>
            <w:r w:rsidRPr="009D71BD">
              <w:t>lanreotide</w:t>
            </w:r>
            <w:proofErr w:type="spellEnd"/>
            <w:r w:rsidRPr="009D71BD">
              <w:t xml:space="preserve"> acetate</w:t>
            </w:r>
          </w:p>
        </w:tc>
      </w:tr>
    </w:tbl>
    <w:bookmarkEnd w:id="0"/>
    <w:p w14:paraId="14CE6108" w14:textId="2335512E" w:rsidR="00FC1AAD" w:rsidRPr="009D71BD" w:rsidRDefault="00ED052F" w:rsidP="00AA2A94">
      <w:pPr>
        <w:pStyle w:val="Heading2"/>
        <w:tabs>
          <w:tab w:val="left" w:pos="9540"/>
        </w:tabs>
      </w:pPr>
      <w:r w:rsidRPr="009D71BD">
        <w:t>Indications</w:t>
      </w:r>
    </w:p>
    <w:p w14:paraId="7B678A6F" w14:textId="45CDBA5F" w:rsidR="006A5229" w:rsidRPr="009D71BD" w:rsidRDefault="006A5229" w:rsidP="006A5229">
      <w:pPr>
        <w:pStyle w:val="BodyText"/>
      </w:pPr>
      <w:r w:rsidRPr="009D71BD">
        <w:t>The indications below including FDA-approved indications and compendial uses are considered a covered benefit provided that all the approval criteria are met and the member has no exclusions to the prescribed therapy.</w:t>
      </w:r>
    </w:p>
    <w:p w14:paraId="134B5687" w14:textId="4BF6A3D4" w:rsidR="00ED052F" w:rsidRPr="00965058" w:rsidRDefault="00ED052F" w:rsidP="00ED052F">
      <w:pPr>
        <w:pStyle w:val="Heading3"/>
        <w:keepNext w:val="0"/>
        <w:rPr>
          <w:vertAlign w:val="superscript"/>
        </w:rPr>
      </w:pPr>
      <w:r w:rsidRPr="009D71BD">
        <w:t>FDA-</w:t>
      </w:r>
      <w:r w:rsidR="00BA4FE9">
        <w:t>a</w:t>
      </w:r>
      <w:r w:rsidRPr="009D71BD">
        <w:t>pproved Indications</w:t>
      </w:r>
      <w:r w:rsidR="002C1949">
        <w:rPr>
          <w:vertAlign w:val="superscript"/>
        </w:rPr>
        <w:t>1,7</w:t>
      </w:r>
    </w:p>
    <w:p w14:paraId="4802DA20" w14:textId="402B6DAA" w:rsidR="006A5229" w:rsidRPr="009D71BD" w:rsidRDefault="006A5229" w:rsidP="008A1511">
      <w:pPr>
        <w:pStyle w:val="ListParagraph"/>
        <w:widowControl w:val="0"/>
        <w:numPr>
          <w:ilvl w:val="0"/>
          <w:numId w:val="28"/>
        </w:numPr>
      </w:pPr>
      <w:r w:rsidRPr="009D71BD">
        <w:t>Long-term treatment of acromegalic patients who have had an inadequate response to or cannot be treated with surgery and/or radiotherapy.</w:t>
      </w:r>
    </w:p>
    <w:p w14:paraId="3076E866" w14:textId="16240E2B" w:rsidR="006A5229" w:rsidRPr="009D71BD" w:rsidRDefault="006A5229" w:rsidP="008A1511">
      <w:pPr>
        <w:pStyle w:val="ListParagraph"/>
        <w:keepNext/>
        <w:keepLines/>
        <w:widowControl w:val="0"/>
        <w:numPr>
          <w:ilvl w:val="0"/>
          <w:numId w:val="28"/>
        </w:numPr>
        <w:ind w:left="714" w:hanging="357"/>
      </w:pPr>
      <w:r w:rsidRPr="009D71BD">
        <w:t xml:space="preserve">Treatment of adult patients with unresectable, well- or moderately-differentiated, locally advanced or metastatic </w:t>
      </w:r>
      <w:proofErr w:type="spellStart"/>
      <w:r w:rsidRPr="009D71BD">
        <w:t>gastroenteropancreatic</w:t>
      </w:r>
      <w:proofErr w:type="spellEnd"/>
      <w:r w:rsidRPr="009D71BD">
        <w:t xml:space="preserve"> neuroendocrine tumors (GEP-NETs) to improve progression-free survival.</w:t>
      </w:r>
    </w:p>
    <w:p w14:paraId="0F290F9A" w14:textId="6D029525" w:rsidR="006A5229" w:rsidRPr="009D71BD" w:rsidRDefault="006A5229" w:rsidP="008A1511">
      <w:pPr>
        <w:pStyle w:val="ListParagraph"/>
        <w:widowControl w:val="0"/>
        <w:numPr>
          <w:ilvl w:val="0"/>
          <w:numId w:val="28"/>
        </w:numPr>
      </w:pPr>
      <w:r w:rsidRPr="009D71BD">
        <w:t>Treatment of adults with carcinoid syndrome; when used, it reduces the frequency of short-acting somatostatin analog rescue therapy.</w:t>
      </w:r>
    </w:p>
    <w:p w14:paraId="0B5EC236" w14:textId="7A517104" w:rsidR="0044763A" w:rsidRPr="009D71BD" w:rsidRDefault="009F2EF1" w:rsidP="0044763A">
      <w:pPr>
        <w:pStyle w:val="Heading3"/>
      </w:pPr>
      <w:r w:rsidRPr="009D71BD">
        <w:t>Compendial Uses</w:t>
      </w:r>
      <w:r w:rsidR="006A5229" w:rsidRPr="009D71BD">
        <w:rPr>
          <w:vertAlign w:val="superscript"/>
        </w:rPr>
        <w:t>2,5</w:t>
      </w:r>
    </w:p>
    <w:p w14:paraId="31BD6292" w14:textId="1969E293" w:rsidR="006A5229" w:rsidRPr="009D71BD" w:rsidRDefault="006A5229" w:rsidP="006A5229">
      <w:pPr>
        <w:pStyle w:val="ListParagraph"/>
        <w:numPr>
          <w:ilvl w:val="0"/>
          <w:numId w:val="32"/>
        </w:numPr>
      </w:pPr>
      <w:r w:rsidRPr="009D71BD">
        <w:t>Neuroendocrine tumors (NETs):</w:t>
      </w:r>
    </w:p>
    <w:p w14:paraId="497B3EB3" w14:textId="63852514" w:rsidR="006A5229" w:rsidRPr="009D71BD" w:rsidRDefault="006A5229" w:rsidP="006A5229">
      <w:pPr>
        <w:pStyle w:val="ListParagraph"/>
        <w:numPr>
          <w:ilvl w:val="1"/>
          <w:numId w:val="34"/>
        </w:numPr>
      </w:pPr>
      <w:r w:rsidRPr="009D71BD">
        <w:t>Tumors of the gastrointestinal (GI) tract, lung, and thymus (carcinoid tumors)</w:t>
      </w:r>
    </w:p>
    <w:p w14:paraId="182133B1" w14:textId="3383B023" w:rsidR="006A5229" w:rsidRPr="009D71BD" w:rsidRDefault="006A5229" w:rsidP="006A5229">
      <w:pPr>
        <w:pStyle w:val="ListParagraph"/>
        <w:numPr>
          <w:ilvl w:val="1"/>
          <w:numId w:val="34"/>
        </w:numPr>
      </w:pPr>
      <w:r w:rsidRPr="009D71BD">
        <w:t>Tumors of the pancreas (islet cell tumors)</w:t>
      </w:r>
    </w:p>
    <w:p w14:paraId="4CC8DEE6" w14:textId="438C63EB" w:rsidR="006A5229" w:rsidRPr="009D71BD" w:rsidRDefault="006A5229" w:rsidP="006A5229">
      <w:pPr>
        <w:pStyle w:val="ListParagraph"/>
        <w:numPr>
          <w:ilvl w:val="1"/>
          <w:numId w:val="34"/>
        </w:numPr>
      </w:pPr>
      <w:proofErr w:type="spellStart"/>
      <w:r w:rsidRPr="009D71BD">
        <w:t>Gastroenteropancreatic</w:t>
      </w:r>
      <w:proofErr w:type="spellEnd"/>
      <w:r w:rsidRPr="009D71BD">
        <w:t xml:space="preserve"> neuroendocrine tumors (GEP-NETs)</w:t>
      </w:r>
    </w:p>
    <w:p w14:paraId="511BEFFA" w14:textId="05F0CBC5" w:rsidR="006A5229" w:rsidRPr="009D71BD" w:rsidRDefault="006A5229" w:rsidP="006A5229">
      <w:pPr>
        <w:pStyle w:val="ListParagraph"/>
        <w:numPr>
          <w:ilvl w:val="0"/>
          <w:numId w:val="32"/>
        </w:numPr>
      </w:pPr>
      <w:r w:rsidRPr="009D71BD">
        <w:lastRenderedPageBreak/>
        <w:t>Pheochromocytoma and paraganglioma</w:t>
      </w:r>
    </w:p>
    <w:p w14:paraId="128F6901" w14:textId="756DF9B0" w:rsidR="006A5229" w:rsidRPr="009D71BD" w:rsidRDefault="006A5229" w:rsidP="00854829">
      <w:pPr>
        <w:pStyle w:val="ListParagraph"/>
        <w:numPr>
          <w:ilvl w:val="0"/>
          <w:numId w:val="32"/>
        </w:numPr>
      </w:pPr>
      <w:r w:rsidRPr="009D71BD">
        <w:t>Zollinger-Ellison syndrome</w:t>
      </w:r>
    </w:p>
    <w:p w14:paraId="63FA0C4B" w14:textId="22BBF480" w:rsidR="006A5229" w:rsidRPr="009D71BD" w:rsidRDefault="006A5229" w:rsidP="008A1511">
      <w:pPr>
        <w:pStyle w:val="BodyText"/>
        <w:spacing w:after="0"/>
      </w:pPr>
      <w:r w:rsidRPr="009D71BD">
        <w:t>All other indications are considered experimental/investigational and not medically necessary.</w:t>
      </w:r>
    </w:p>
    <w:p w14:paraId="36381B6D" w14:textId="417A2C4C" w:rsidR="000D2496" w:rsidRPr="009D71BD" w:rsidRDefault="000D2496" w:rsidP="000D2496">
      <w:pPr>
        <w:pStyle w:val="Heading2"/>
      </w:pPr>
      <w:r w:rsidRPr="009D71BD">
        <w:t>Documentation</w:t>
      </w:r>
    </w:p>
    <w:p w14:paraId="111FB91E" w14:textId="77777777" w:rsidR="006A5229" w:rsidRPr="009D71BD" w:rsidRDefault="006A5229" w:rsidP="006A5229">
      <w:pPr>
        <w:pStyle w:val="BodyText"/>
      </w:pPr>
      <w:r w:rsidRPr="009D71BD">
        <w:t>Submission of the following information is necessary to initiate the prior authorization review for acromegaly:</w:t>
      </w:r>
    </w:p>
    <w:p w14:paraId="090D6C53" w14:textId="24F81F3D" w:rsidR="006A5229" w:rsidRPr="009D71BD" w:rsidRDefault="006A5229" w:rsidP="006A5229">
      <w:pPr>
        <w:pStyle w:val="ListParagraph"/>
        <w:numPr>
          <w:ilvl w:val="0"/>
          <w:numId w:val="35"/>
        </w:numPr>
      </w:pPr>
      <w:r w:rsidRPr="009D71BD">
        <w:t>For initial approval: Laboratory report indicating high pretreatment insulin-like growth factor-1 (IGF-1) level and chart notes indicating an inadequate or partial response to surgery or radiotherapy or a clinical reason for not having surgery or radiotherapy.</w:t>
      </w:r>
    </w:p>
    <w:p w14:paraId="7993F744" w14:textId="53B95AC0" w:rsidR="006A5229" w:rsidRPr="009D71BD" w:rsidRDefault="006A5229" w:rsidP="008A1511">
      <w:pPr>
        <w:pStyle w:val="ListParagraph"/>
        <w:numPr>
          <w:ilvl w:val="0"/>
          <w:numId w:val="35"/>
        </w:numPr>
        <w:spacing w:after="0"/>
      </w:pPr>
      <w:r w:rsidRPr="009D71BD">
        <w:t>For continuation: Laboratory report indicating normal current IGF-1 levels or chart notes indicating that the member’s IGF-1 level has decreased or normalized since initiation of therapy.</w:t>
      </w:r>
    </w:p>
    <w:p w14:paraId="50A38FBA" w14:textId="1D152B67" w:rsidR="00FE0C63" w:rsidRPr="009D71BD" w:rsidRDefault="00685107" w:rsidP="008A1511">
      <w:pPr>
        <w:pStyle w:val="Heading2"/>
        <w:keepNext w:val="0"/>
        <w:widowControl w:val="0"/>
      </w:pPr>
      <w:r w:rsidRPr="009D71BD">
        <w:t>Coverage Criteria</w:t>
      </w:r>
    </w:p>
    <w:p w14:paraId="4797F4E2" w14:textId="1979BBF2" w:rsidR="006A5229" w:rsidRPr="009D71BD" w:rsidRDefault="006A5229" w:rsidP="008A1511">
      <w:pPr>
        <w:pStyle w:val="Heading3"/>
        <w:keepNext w:val="0"/>
        <w:keepLines w:val="0"/>
        <w:widowControl w:val="0"/>
      </w:pPr>
      <w:r w:rsidRPr="009D71BD">
        <w:t>Acromegaly</w:t>
      </w:r>
      <w:r w:rsidRPr="009D71BD">
        <w:rPr>
          <w:vertAlign w:val="superscript"/>
        </w:rPr>
        <w:t>1,3,4,7</w:t>
      </w:r>
    </w:p>
    <w:p w14:paraId="2B9A636F" w14:textId="77777777" w:rsidR="006A5229" w:rsidRPr="009D71BD" w:rsidRDefault="006A5229" w:rsidP="008A1511">
      <w:pPr>
        <w:pStyle w:val="BodyText"/>
        <w:widowControl w:val="0"/>
      </w:pPr>
      <w:r w:rsidRPr="009D71BD">
        <w:t>Authorization of 12 months may be granted for the treatment of acromegaly when all of the following criteria are met:</w:t>
      </w:r>
    </w:p>
    <w:p w14:paraId="5CE5714A" w14:textId="32CFC99B" w:rsidR="006A5229" w:rsidRPr="009D71BD" w:rsidRDefault="006A5229" w:rsidP="008A1511">
      <w:pPr>
        <w:pStyle w:val="ListParagraph"/>
        <w:widowControl w:val="0"/>
        <w:numPr>
          <w:ilvl w:val="0"/>
          <w:numId w:val="39"/>
        </w:numPr>
      </w:pPr>
      <w:r w:rsidRPr="009D71BD">
        <w:t>Member has a high pretreatment IGF-1 level for age and/or gender based on the laboratory reference range.</w:t>
      </w:r>
    </w:p>
    <w:p w14:paraId="2577A396" w14:textId="2F4A4D06" w:rsidR="006A5229" w:rsidRPr="009D71BD" w:rsidRDefault="006A5229" w:rsidP="008A1511">
      <w:pPr>
        <w:pStyle w:val="ListParagraph"/>
        <w:widowControl w:val="0"/>
        <w:numPr>
          <w:ilvl w:val="0"/>
          <w:numId w:val="39"/>
        </w:numPr>
      </w:pPr>
      <w:r w:rsidRPr="009D71BD">
        <w:t>Member had an inadequate or partial response to surgery or radiotherapy OR there is a clinical reason why the member has not had surgery or radiotherapy.</w:t>
      </w:r>
    </w:p>
    <w:p w14:paraId="79CB7659" w14:textId="55F1F1EA" w:rsidR="006A5229" w:rsidRPr="009D71BD" w:rsidRDefault="006A5229" w:rsidP="006A5229">
      <w:pPr>
        <w:pStyle w:val="Heading3"/>
      </w:pPr>
      <w:r w:rsidRPr="009D71BD">
        <w:t xml:space="preserve">Neuroendocrine </w:t>
      </w:r>
      <w:r w:rsidR="008A1511" w:rsidRPr="009D71BD">
        <w:t xml:space="preserve">Tumors </w:t>
      </w:r>
      <w:r w:rsidRPr="009D71BD">
        <w:t>(NETs)</w:t>
      </w:r>
      <w:r w:rsidRPr="009D71BD">
        <w:rPr>
          <w:vertAlign w:val="superscript"/>
        </w:rPr>
        <w:t>1,2,5,6,7</w:t>
      </w:r>
    </w:p>
    <w:p w14:paraId="0D8831C4" w14:textId="20155711" w:rsidR="006A5229" w:rsidRPr="009D71BD" w:rsidRDefault="006A5229" w:rsidP="006A5229">
      <w:pPr>
        <w:pStyle w:val="ListParagraph"/>
        <w:numPr>
          <w:ilvl w:val="0"/>
          <w:numId w:val="37"/>
        </w:numPr>
      </w:pPr>
      <w:r w:rsidRPr="009D71BD">
        <w:t>Authorization of 12 months may be granted for treatment of NETs of the gastrointestinal (GI) tract, lung and thymus (carcinoid tumors).</w:t>
      </w:r>
    </w:p>
    <w:p w14:paraId="3CE9E260" w14:textId="24849DE0" w:rsidR="006A5229" w:rsidRPr="009D71BD" w:rsidRDefault="006A5229" w:rsidP="006A5229">
      <w:pPr>
        <w:pStyle w:val="ListParagraph"/>
        <w:numPr>
          <w:ilvl w:val="0"/>
          <w:numId w:val="37"/>
        </w:numPr>
      </w:pPr>
      <w:r w:rsidRPr="009D71BD">
        <w:t xml:space="preserve">Authorization of 12 months may be granted for treatment of NETs of the pancreas (islet cell tumors), including </w:t>
      </w:r>
      <w:proofErr w:type="spellStart"/>
      <w:r w:rsidRPr="009D71BD">
        <w:t>gastrinomas</w:t>
      </w:r>
      <w:proofErr w:type="spellEnd"/>
      <w:r w:rsidRPr="009D71BD">
        <w:t xml:space="preserve">, glucagonomas, insulinomas, and </w:t>
      </w:r>
      <w:proofErr w:type="spellStart"/>
      <w:r w:rsidRPr="009D71BD">
        <w:t>VIPomas</w:t>
      </w:r>
      <w:proofErr w:type="spellEnd"/>
      <w:r w:rsidRPr="009D71BD">
        <w:t>.</w:t>
      </w:r>
    </w:p>
    <w:p w14:paraId="1E51868F" w14:textId="3C315E4B" w:rsidR="006A5229" w:rsidRPr="009D71BD" w:rsidRDefault="006A5229" w:rsidP="006A5229">
      <w:pPr>
        <w:pStyle w:val="ListParagraph"/>
        <w:numPr>
          <w:ilvl w:val="0"/>
          <w:numId w:val="37"/>
        </w:numPr>
      </w:pPr>
      <w:r w:rsidRPr="009D71BD">
        <w:t xml:space="preserve">Authorization of 12 months may be granted for treatment of </w:t>
      </w:r>
      <w:proofErr w:type="spellStart"/>
      <w:r w:rsidRPr="009D71BD">
        <w:t>gastroenteropancreatic</w:t>
      </w:r>
      <w:proofErr w:type="spellEnd"/>
      <w:r w:rsidRPr="009D71BD">
        <w:t xml:space="preserve"> neuroendocrine tumors (GEP-NETs).</w:t>
      </w:r>
    </w:p>
    <w:p w14:paraId="38A3D160" w14:textId="1846E83D" w:rsidR="006A5229" w:rsidRPr="009D71BD" w:rsidRDefault="006A5229" w:rsidP="006A5229">
      <w:pPr>
        <w:pStyle w:val="Heading3"/>
      </w:pPr>
      <w:r w:rsidRPr="009D71BD">
        <w:t xml:space="preserve">Carcinoid </w:t>
      </w:r>
      <w:r w:rsidR="008A1511" w:rsidRPr="009D71BD">
        <w:t>Syndrome</w:t>
      </w:r>
      <w:r w:rsidR="008A1511" w:rsidRPr="009D71BD">
        <w:rPr>
          <w:vertAlign w:val="superscript"/>
        </w:rPr>
        <w:t>1</w:t>
      </w:r>
      <w:r w:rsidRPr="009D71BD">
        <w:rPr>
          <w:vertAlign w:val="superscript"/>
        </w:rPr>
        <w:t>,2</w:t>
      </w:r>
      <w:r w:rsidR="00C912C2">
        <w:rPr>
          <w:vertAlign w:val="superscript"/>
        </w:rPr>
        <w:t>,5,7</w:t>
      </w:r>
    </w:p>
    <w:p w14:paraId="550FA39D" w14:textId="2DE25BF3" w:rsidR="006A5229" w:rsidRPr="009D71BD" w:rsidRDefault="006A5229" w:rsidP="006A5229">
      <w:pPr>
        <w:pStyle w:val="BodyText"/>
      </w:pPr>
      <w:r w:rsidRPr="009D71BD">
        <w:t>Authorization of 12 months may be granted for treatment of carcinoid syndrome.</w:t>
      </w:r>
    </w:p>
    <w:p w14:paraId="54049613" w14:textId="3AC461E9" w:rsidR="006A5229" w:rsidRPr="009D71BD" w:rsidRDefault="006A5229" w:rsidP="006A5229">
      <w:pPr>
        <w:pStyle w:val="Heading3"/>
      </w:pPr>
      <w:r w:rsidRPr="009D71BD">
        <w:t xml:space="preserve">Pheochromocytoma </w:t>
      </w:r>
      <w:r w:rsidR="008A1511">
        <w:t>a</w:t>
      </w:r>
      <w:r w:rsidR="008A1511" w:rsidRPr="009D71BD">
        <w:t>nd Paraganglioma</w:t>
      </w:r>
      <w:r w:rsidR="008A1511" w:rsidRPr="009D71BD">
        <w:rPr>
          <w:vertAlign w:val="superscript"/>
        </w:rPr>
        <w:t>2</w:t>
      </w:r>
    </w:p>
    <w:p w14:paraId="0B163E60" w14:textId="76085E99" w:rsidR="006A5229" w:rsidRPr="009D71BD" w:rsidRDefault="006A5229" w:rsidP="006A5229">
      <w:pPr>
        <w:pStyle w:val="BodyText"/>
      </w:pPr>
      <w:r w:rsidRPr="009D71BD">
        <w:t>Authorization of 12 months may be granted for treatment of pheochromocytoma and paraganglioma.</w:t>
      </w:r>
    </w:p>
    <w:p w14:paraId="138BA229" w14:textId="077BC296" w:rsidR="00965058" w:rsidRPr="00965058" w:rsidRDefault="00965058">
      <w:pPr>
        <w:pStyle w:val="Heading3"/>
        <w:rPr>
          <w:vertAlign w:val="superscript"/>
        </w:rPr>
      </w:pPr>
      <w:r>
        <w:t>Zollinger-Ellinson Syndrome</w:t>
      </w:r>
      <w:r>
        <w:rPr>
          <w:vertAlign w:val="superscript"/>
        </w:rPr>
        <w:t>5</w:t>
      </w:r>
    </w:p>
    <w:p w14:paraId="162D5D80" w14:textId="00F3D5AD" w:rsidR="00965058" w:rsidRPr="00965058" w:rsidRDefault="00965058" w:rsidP="00965058">
      <w:pPr>
        <w:pStyle w:val="BodyText"/>
      </w:pPr>
      <w:r w:rsidRPr="00965058">
        <w:t>Authorization of 12 months may be granted for treatment of Zollinger-Ellison syndrome.</w:t>
      </w:r>
    </w:p>
    <w:p w14:paraId="3A643EC3" w14:textId="1C3B61D5" w:rsidR="00A501AC" w:rsidRPr="009D71BD" w:rsidRDefault="00A501AC" w:rsidP="00A501AC">
      <w:pPr>
        <w:pStyle w:val="Heading2"/>
      </w:pPr>
      <w:r w:rsidRPr="009D71BD">
        <w:t>Continuation of Therapy</w:t>
      </w:r>
    </w:p>
    <w:p w14:paraId="037D37DA" w14:textId="695E65A2" w:rsidR="006A5229" w:rsidRPr="009D71BD" w:rsidRDefault="006A5229" w:rsidP="006A5229">
      <w:pPr>
        <w:pStyle w:val="Heading3"/>
      </w:pPr>
      <w:r w:rsidRPr="009D71BD">
        <w:t>Acromegaly</w:t>
      </w:r>
    </w:p>
    <w:p w14:paraId="14E790EB" w14:textId="77777777" w:rsidR="005821D5" w:rsidRPr="009D71BD" w:rsidRDefault="006A5229" w:rsidP="005821D5">
      <w:pPr>
        <w:pStyle w:val="BodyText"/>
      </w:pPr>
      <w:r w:rsidRPr="009D71BD">
        <w:t>Authorization of 12 months may be granted for continuation of therapy for acromegaly when the member’s IGF-1 level has decreased or normalized since initiation of therapy.</w:t>
      </w:r>
    </w:p>
    <w:p w14:paraId="10A82312" w14:textId="33813B7E" w:rsidR="006A5229" w:rsidRPr="009D71BD" w:rsidRDefault="008A1511" w:rsidP="005821D5">
      <w:pPr>
        <w:pStyle w:val="Heading3"/>
      </w:pPr>
      <w:r w:rsidRPr="009D71BD">
        <w:t>N</w:t>
      </w:r>
      <w:r w:rsidR="00512656">
        <w:t>ET</w:t>
      </w:r>
      <w:r w:rsidRPr="009D71BD">
        <w:t xml:space="preserve">s, </w:t>
      </w:r>
      <w:r w:rsidR="006A5229" w:rsidRPr="009D71BD">
        <w:t xml:space="preserve">Carcinoid </w:t>
      </w:r>
      <w:r w:rsidRPr="009D71BD">
        <w:t xml:space="preserve">Syndrome, Pheochromocytoma/Paraganglioma, </w:t>
      </w:r>
      <w:r>
        <w:t>a</w:t>
      </w:r>
      <w:r w:rsidRPr="009D71BD">
        <w:t xml:space="preserve">nd </w:t>
      </w:r>
      <w:r w:rsidR="006A5229" w:rsidRPr="009D71BD">
        <w:t>Zollinger</w:t>
      </w:r>
      <w:r w:rsidRPr="009D71BD">
        <w:t>-</w:t>
      </w:r>
      <w:r w:rsidR="006A5229" w:rsidRPr="009D71BD">
        <w:t xml:space="preserve">Ellison </w:t>
      </w:r>
      <w:r w:rsidRPr="009D71BD">
        <w:t>Syndrome</w:t>
      </w:r>
    </w:p>
    <w:p w14:paraId="1D0C1FA8" w14:textId="1D562E1A" w:rsidR="006A5229" w:rsidRPr="009D71BD" w:rsidRDefault="006A5229" w:rsidP="005821D5">
      <w:pPr>
        <w:pStyle w:val="BodyText"/>
      </w:pPr>
      <w:r w:rsidRPr="009D71BD">
        <w:t>Authorization of 12 months may be granted for continued treatment in members requesting reauthorization when the member is experiencing clinical benefit as evidenced by improvement or stabilization in clinical signs and symptoms since starting therapy.</w:t>
      </w:r>
    </w:p>
    <w:p w14:paraId="10DA4309" w14:textId="79F06D82" w:rsidR="00FF66BF" w:rsidRPr="009D71BD" w:rsidRDefault="00FF66BF" w:rsidP="008A1511">
      <w:pPr>
        <w:pStyle w:val="Heading2"/>
        <w:tabs>
          <w:tab w:val="clear" w:pos="2880"/>
          <w:tab w:val="left" w:pos="9645"/>
        </w:tabs>
      </w:pPr>
      <w:bookmarkStart w:id="1" w:name="S2.2"/>
      <w:bookmarkStart w:id="2" w:name="section-2.2"/>
      <w:bookmarkStart w:id="3" w:name="section-2.2.1"/>
      <w:bookmarkStart w:id="4" w:name="section-2.2.2"/>
      <w:bookmarkEnd w:id="1"/>
      <w:bookmarkEnd w:id="2"/>
      <w:bookmarkEnd w:id="3"/>
      <w:bookmarkEnd w:id="4"/>
      <w:r w:rsidRPr="009D71BD">
        <w:t>References</w:t>
      </w:r>
    </w:p>
    <w:p w14:paraId="29FB4FE4" w14:textId="6BFD75AC" w:rsidR="005821D5" w:rsidRPr="008A1511" w:rsidRDefault="005821D5" w:rsidP="008A1511">
      <w:pPr>
        <w:pStyle w:val="ReferenceOrdered"/>
      </w:pPr>
      <w:proofErr w:type="spellStart"/>
      <w:r w:rsidRPr="008A1511">
        <w:t>Somatuline</w:t>
      </w:r>
      <w:proofErr w:type="spellEnd"/>
      <w:r w:rsidRPr="008A1511">
        <w:t xml:space="preserve"> Depot [package insert]. Cambridge, MA: Ipsen Biopharmaceuticals, Inc.; </w:t>
      </w:r>
      <w:r w:rsidR="00DC0810">
        <w:t>July</w:t>
      </w:r>
      <w:r w:rsidR="00DC0810" w:rsidRPr="008A1511">
        <w:t xml:space="preserve"> </w:t>
      </w:r>
      <w:r w:rsidRPr="008A1511">
        <w:t>202</w:t>
      </w:r>
      <w:r w:rsidR="00DC0810">
        <w:t>4</w:t>
      </w:r>
      <w:r w:rsidRPr="008A1511">
        <w:t>.</w:t>
      </w:r>
    </w:p>
    <w:p w14:paraId="2934ACCE" w14:textId="5EAACCEA" w:rsidR="005821D5" w:rsidRPr="008A1511" w:rsidRDefault="005821D5" w:rsidP="008A1511">
      <w:pPr>
        <w:pStyle w:val="ReferenceOrdered"/>
      </w:pPr>
      <w:r w:rsidRPr="008A1511">
        <w:t>The NCCN Drugs &amp; Biologics Compendium® © 202</w:t>
      </w:r>
      <w:r w:rsidR="00DC0810">
        <w:t>4</w:t>
      </w:r>
      <w:r w:rsidRPr="008A1511">
        <w:t xml:space="preserve"> National Comprehensive Cancer Network, Inc. http://www.nccn.org. Accessed November </w:t>
      </w:r>
      <w:r w:rsidR="00DC0810">
        <w:t>8</w:t>
      </w:r>
      <w:r w:rsidRPr="008A1511">
        <w:t>, 202</w:t>
      </w:r>
      <w:r w:rsidR="00DC0810">
        <w:t>4</w:t>
      </w:r>
      <w:r w:rsidRPr="008A1511">
        <w:t>.</w:t>
      </w:r>
    </w:p>
    <w:p w14:paraId="64D61F8B" w14:textId="0A28D0B3" w:rsidR="005821D5" w:rsidRPr="008A1511" w:rsidRDefault="005821D5" w:rsidP="008A1511">
      <w:pPr>
        <w:pStyle w:val="ReferenceOrdered"/>
      </w:pPr>
      <w:r w:rsidRPr="008A1511">
        <w:t xml:space="preserve">Katznelson L, Laws ER, </w:t>
      </w:r>
      <w:proofErr w:type="spellStart"/>
      <w:r w:rsidRPr="008A1511">
        <w:t>Melmed</w:t>
      </w:r>
      <w:proofErr w:type="spellEnd"/>
      <w:r w:rsidRPr="008A1511">
        <w:t xml:space="preserve"> S, et al. Acromegaly: an endocrine society clinical practice guideline. J Clin Endocrinol Metab. 2014;99:3933-3951.</w:t>
      </w:r>
    </w:p>
    <w:p w14:paraId="058506FE" w14:textId="274BCDAE" w:rsidR="005821D5" w:rsidRPr="008A1511" w:rsidRDefault="005821D5" w:rsidP="008A1511">
      <w:pPr>
        <w:pStyle w:val="ReferenceOrdered"/>
      </w:pPr>
      <w:r w:rsidRPr="008A1511">
        <w:t xml:space="preserve">American Association of Clinical Endocrinologists Acromegaly Guidelines Task Force. Medical guidelines for clinical practice for the diagnosis and treatment of acromegaly – 2011 update. </w:t>
      </w:r>
      <w:proofErr w:type="spellStart"/>
      <w:r w:rsidRPr="008A1511">
        <w:t>Endocr</w:t>
      </w:r>
      <w:proofErr w:type="spellEnd"/>
      <w:r w:rsidRPr="008A1511">
        <w:t xml:space="preserve"> </w:t>
      </w:r>
      <w:proofErr w:type="spellStart"/>
      <w:r w:rsidRPr="008A1511">
        <w:t>Pract</w:t>
      </w:r>
      <w:proofErr w:type="spellEnd"/>
      <w:r w:rsidRPr="008A1511">
        <w:t>. 2011;17(suppl 4):1-44.</w:t>
      </w:r>
    </w:p>
    <w:p w14:paraId="5B69FC8A" w14:textId="25B84A0A" w:rsidR="005821D5" w:rsidRPr="008A1511" w:rsidRDefault="005821D5" w:rsidP="008A1511">
      <w:pPr>
        <w:pStyle w:val="ReferenceOrdered"/>
      </w:pPr>
      <w:r w:rsidRPr="008A1511">
        <w:t xml:space="preserve">The NCCN Clinical Practice Guidelines in Oncology® Neuroendocrine and Adrenal Tumors (Version </w:t>
      </w:r>
      <w:r w:rsidR="00C912C2">
        <w:t>2</w:t>
      </w:r>
      <w:r w:rsidRPr="008A1511">
        <w:t>.202</w:t>
      </w:r>
      <w:r w:rsidR="00C912C2">
        <w:t>4</w:t>
      </w:r>
      <w:r w:rsidRPr="008A1511">
        <w:t>). © 202</w:t>
      </w:r>
      <w:r w:rsidR="00C912C2">
        <w:t>4</w:t>
      </w:r>
      <w:r w:rsidRPr="008A1511">
        <w:t xml:space="preserve"> National Comprehensive Cancer Network, Inc. http://www.nccn.org. Accessed November </w:t>
      </w:r>
      <w:r w:rsidR="00C912C2">
        <w:t>8</w:t>
      </w:r>
      <w:r w:rsidRPr="008A1511">
        <w:t>, 202</w:t>
      </w:r>
      <w:r w:rsidR="00C912C2">
        <w:t>4</w:t>
      </w:r>
      <w:r w:rsidRPr="008A1511">
        <w:t>.</w:t>
      </w:r>
    </w:p>
    <w:p w14:paraId="0C0A11CD" w14:textId="01426DD6" w:rsidR="005821D5" w:rsidRPr="008A1511" w:rsidRDefault="005821D5" w:rsidP="008A1511">
      <w:pPr>
        <w:pStyle w:val="ReferenceOrdered"/>
      </w:pPr>
      <w:proofErr w:type="spellStart"/>
      <w:r w:rsidRPr="008961FB">
        <w:rPr>
          <w:lang w:val="fr-BE"/>
        </w:rPr>
        <w:t>Caplin</w:t>
      </w:r>
      <w:proofErr w:type="spellEnd"/>
      <w:r w:rsidRPr="008961FB">
        <w:rPr>
          <w:lang w:val="fr-BE"/>
        </w:rPr>
        <w:t xml:space="preserve"> ME, Pavel M, Cwikla JB, et al. </w:t>
      </w:r>
      <w:r w:rsidRPr="008961FB">
        <w:rPr>
          <w:lang w:val="it-IT"/>
        </w:rPr>
        <w:t xml:space="preserve">Lanreotide in metastatic enteropancreatic neuroendocrine tumors. </w:t>
      </w:r>
      <w:r w:rsidRPr="008A1511">
        <w:t>N Engl J Med. 2014;371:224-233.</w:t>
      </w:r>
    </w:p>
    <w:p w14:paraId="28649196" w14:textId="29FD2751" w:rsidR="005821D5" w:rsidRPr="008A1511" w:rsidRDefault="005821D5" w:rsidP="008A1511">
      <w:pPr>
        <w:pStyle w:val="ReferenceOrdered"/>
      </w:pPr>
      <w:proofErr w:type="spellStart"/>
      <w:r w:rsidRPr="008A1511">
        <w:t>Lanreotide</w:t>
      </w:r>
      <w:proofErr w:type="spellEnd"/>
      <w:r w:rsidRPr="008A1511">
        <w:t xml:space="preserve"> Injection [package insert]. Warren, NJ: Cipla USA, Inc.; September 202</w:t>
      </w:r>
      <w:r w:rsidR="00C912C2">
        <w:t>4</w:t>
      </w:r>
      <w:r w:rsidRPr="008A1511">
        <w:t>.</w:t>
      </w:r>
    </w:p>
    <w:sectPr w:rsidR="005821D5" w:rsidRPr="008A1511" w:rsidSect="00060DA6">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53E8C" w14:textId="77777777" w:rsidR="00AD4F7E" w:rsidRDefault="00AD4F7E">
      <w:r>
        <w:separator/>
      </w:r>
    </w:p>
  </w:endnote>
  <w:endnote w:type="continuationSeparator" w:id="0">
    <w:p w14:paraId="211FCABF" w14:textId="77777777" w:rsidR="00AD4F7E" w:rsidRDefault="00AD4F7E">
      <w:r>
        <w:continuationSeparator/>
      </w:r>
    </w:p>
  </w:endnote>
  <w:endnote w:type="continuationNotice" w:id="1">
    <w:p w14:paraId="4F2049AB" w14:textId="77777777" w:rsidR="00AD4F7E" w:rsidRDefault="00AD4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D76760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E2E5A" w:rsidRPr="00FE2E5A">
      <w:rPr>
        <w:rFonts w:cs="Arial"/>
        <w:noProof/>
        <w:sz w:val="16"/>
        <w:szCs w:val="16"/>
      </w:rPr>
      <w:t>lanreotide</w:t>
    </w:r>
    <w:r w:rsidR="00FE2E5A">
      <w:rPr>
        <w:rFonts w:cs="Arial"/>
        <w:noProof/>
        <w:snapToGrid w:val="0"/>
        <w:color w:val="000000"/>
        <w:sz w:val="16"/>
        <w:szCs w:val="16"/>
      </w:rPr>
      <w:t xml:space="preserve"> injection-Somatuline Depot</w:t>
    </w:r>
    <w:r w:rsidR="00FE2E5A" w:rsidRPr="00FE2E5A">
      <w:rPr>
        <w:rFonts w:cs="Arial"/>
        <w:noProof/>
        <w:sz w:val="16"/>
        <w:szCs w:val="16"/>
      </w:rPr>
      <w:t xml:space="preserve"> SGM</w:t>
    </w:r>
    <w:r w:rsidR="00FE2E5A">
      <w:rPr>
        <w:rFonts w:cs="Arial"/>
        <w:noProof/>
        <w:snapToGrid w:val="0"/>
        <w:color w:val="000000"/>
        <w:sz w:val="16"/>
        <w:szCs w:val="16"/>
      </w:rPr>
      <w:t xml:space="preserve"> 2092-A P2025.docx</w:t>
    </w:r>
    <w:r w:rsidRPr="00EC47B6">
      <w:rPr>
        <w:rFonts w:cs="Arial"/>
        <w:noProof/>
        <w:sz w:val="16"/>
        <w:szCs w:val="16"/>
      </w:rPr>
      <w:fldChar w:fldCharType="end"/>
    </w:r>
    <w:r w:rsidRPr="00EC47B6">
      <w:rPr>
        <w:rFonts w:cs="Arial"/>
        <w:snapToGrid w:val="0"/>
        <w:color w:val="000000"/>
        <w:sz w:val="16"/>
      </w:rPr>
      <w:tab/>
      <w:t>© 202</w:t>
    </w:r>
    <w:r w:rsidR="009A734E">
      <w:rPr>
        <w:rFonts w:cs="Arial"/>
        <w:snapToGrid w:val="0"/>
        <w:color w:val="000000"/>
        <w:sz w:val="16"/>
      </w:rPr>
      <w:t>5</w:t>
    </w:r>
    <w:r w:rsidRPr="00EC47B6">
      <w:rPr>
        <w:rFonts w:cs="Arial"/>
        <w:snapToGrid w:val="0"/>
        <w:color w:val="000000"/>
        <w:sz w:val="16"/>
      </w:rPr>
      <w:t xml:space="preserve"> CVS Caremark. All rights reserved.</w:t>
    </w:r>
  </w:p>
  <w:p w14:paraId="61CF5924" w14:textId="2765A13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FC30361" w:rsidR="00F75C81" w:rsidRPr="00C4613E" w:rsidRDefault="00C36B72" w:rsidP="00C4613E">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902D4F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E05D8" w:rsidRPr="009E05D8">
      <w:rPr>
        <w:rFonts w:cs="Arial"/>
        <w:noProof/>
        <w:sz w:val="16"/>
        <w:szCs w:val="16"/>
      </w:rPr>
      <w:t>lanreotide</w:t>
    </w:r>
    <w:r w:rsidR="009E05D8">
      <w:rPr>
        <w:rFonts w:cs="Arial"/>
        <w:noProof/>
        <w:snapToGrid w:val="0"/>
        <w:color w:val="000000"/>
        <w:sz w:val="16"/>
        <w:szCs w:val="16"/>
      </w:rPr>
      <w:t xml:space="preserve"> injection-Somatuline Depot</w:t>
    </w:r>
    <w:r w:rsidR="009E05D8" w:rsidRPr="009E05D8">
      <w:rPr>
        <w:rFonts w:cs="Arial"/>
        <w:noProof/>
        <w:sz w:val="16"/>
        <w:szCs w:val="16"/>
      </w:rPr>
      <w:t xml:space="preserve"> </w:t>
    </w:r>
    <w:r w:rsidR="009E05D8">
      <w:rPr>
        <w:rFonts w:cs="Arial"/>
        <w:noProof/>
        <w:snapToGrid w:val="0"/>
        <w:color w:val="000000"/>
        <w:sz w:val="16"/>
        <w:szCs w:val="16"/>
      </w:rPr>
      <w:t xml:space="preserve">SGM </w:t>
    </w:r>
    <w:r w:rsidR="009E05D8" w:rsidRPr="009E05D8">
      <w:rPr>
        <w:rFonts w:cs="Arial"/>
        <w:noProof/>
        <w:sz w:val="16"/>
        <w:szCs w:val="16"/>
      </w:rPr>
      <w:t>2092-A</w:t>
    </w:r>
    <w:r w:rsidR="009E05D8">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9A734E">
      <w:rPr>
        <w:rFonts w:cs="Arial"/>
        <w:snapToGrid w:val="0"/>
        <w:color w:val="000000"/>
        <w:sz w:val="16"/>
      </w:rPr>
      <w:t>5</w:t>
    </w:r>
    <w:r w:rsidRPr="00EC47B6">
      <w:rPr>
        <w:rFonts w:cs="Arial"/>
        <w:snapToGrid w:val="0"/>
        <w:color w:val="000000"/>
        <w:sz w:val="16"/>
      </w:rPr>
      <w:t xml:space="preserve"> CVS Caremark. All rights reserved.</w:t>
    </w:r>
  </w:p>
  <w:p w14:paraId="39BFE579" w14:textId="7B16E7D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BD72574" w:rsidR="00ED04EC" w:rsidRPr="00F50D98" w:rsidRDefault="00F50D98" w:rsidP="008961F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F505B" w14:textId="7F28AFE6" w:rsidR="008A1511" w:rsidRPr="008A1511" w:rsidRDefault="008A1511" w:rsidP="008A15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A4F56" w14:textId="77777777" w:rsidR="00AD4F7E" w:rsidRDefault="00AD4F7E">
      <w:r>
        <w:separator/>
      </w:r>
    </w:p>
  </w:footnote>
  <w:footnote w:type="continuationSeparator" w:id="0">
    <w:p w14:paraId="40EBC34B" w14:textId="77777777" w:rsidR="00AD4F7E" w:rsidRDefault="00AD4F7E">
      <w:r>
        <w:continuationSeparator/>
      </w:r>
    </w:p>
  </w:footnote>
  <w:footnote w:type="continuationNotice" w:id="1">
    <w:p w14:paraId="09568A4D" w14:textId="77777777" w:rsidR="00AD4F7E" w:rsidRDefault="00AD4F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5821D5" w:rsidRDefault="00ED04EC" w:rsidP="00ED04EC">
          <w:pPr>
            <w:pStyle w:val="Header"/>
            <w:rPr>
              <w:rFonts w:cs="Arial"/>
              <w:sz w:val="16"/>
              <w:szCs w:val="16"/>
            </w:rPr>
          </w:pPr>
          <w:r w:rsidRPr="005821D5">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FE6B554" w:rsidR="00ED04EC" w:rsidRPr="005821D5" w:rsidRDefault="005821D5" w:rsidP="00ED04EC">
          <w:pPr>
            <w:pStyle w:val="Header"/>
            <w:rPr>
              <w:rFonts w:cs="Arial"/>
              <w:sz w:val="16"/>
              <w:szCs w:val="16"/>
            </w:rPr>
          </w:pPr>
          <w:r w:rsidRPr="005821D5">
            <w:rPr>
              <w:rFonts w:cs="Arial"/>
              <w:sz w:val="16"/>
              <w:szCs w:val="16"/>
            </w:rPr>
            <w:t>2092-A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821D5" w:rsidRPr="005821D5" w14:paraId="0F9CBE56" w14:textId="77777777" w:rsidTr="002550D0">
      <w:trPr>
        <w:trHeight w:val="144"/>
        <w:jc w:val="right"/>
      </w:trPr>
      <w:tc>
        <w:tcPr>
          <w:tcW w:w="1854" w:type="dxa"/>
          <w:hideMark/>
        </w:tcPr>
        <w:p w14:paraId="20E5167F" w14:textId="77777777" w:rsidR="005821D5" w:rsidRPr="005821D5" w:rsidRDefault="005821D5" w:rsidP="005821D5">
          <w:pPr>
            <w:pStyle w:val="Header"/>
            <w:rPr>
              <w:rFonts w:cs="Arial"/>
              <w:sz w:val="16"/>
              <w:szCs w:val="16"/>
            </w:rPr>
          </w:pPr>
          <w:r w:rsidRPr="005821D5">
            <w:rPr>
              <w:rFonts w:cs="Arial"/>
              <w:sz w:val="16"/>
              <w:szCs w:val="16"/>
            </w:rPr>
            <w:t>Reference number(s)</w:t>
          </w:r>
        </w:p>
      </w:tc>
    </w:tr>
    <w:tr w:rsidR="005821D5" w:rsidRPr="005821D5" w14:paraId="7D624140" w14:textId="77777777" w:rsidTr="002550D0">
      <w:trPr>
        <w:trHeight w:val="378"/>
        <w:jc w:val="right"/>
      </w:trPr>
      <w:tc>
        <w:tcPr>
          <w:tcW w:w="1854" w:type="dxa"/>
          <w:hideMark/>
        </w:tcPr>
        <w:p w14:paraId="0B3EA590" w14:textId="77777777" w:rsidR="005821D5" w:rsidRPr="005821D5" w:rsidRDefault="005821D5" w:rsidP="005821D5">
          <w:pPr>
            <w:pStyle w:val="Header"/>
            <w:rPr>
              <w:rFonts w:cs="Arial"/>
              <w:sz w:val="16"/>
              <w:szCs w:val="16"/>
            </w:rPr>
          </w:pPr>
          <w:r w:rsidRPr="005821D5">
            <w:rPr>
              <w:rFonts w:cs="Arial"/>
              <w:sz w:val="16"/>
              <w:szCs w:val="16"/>
            </w:rPr>
            <w:t>2092-A</w:t>
          </w:r>
        </w:p>
      </w:tc>
    </w:tr>
  </w:tbl>
  <w:p w14:paraId="58431763" w14:textId="77777777" w:rsidR="005821D5" w:rsidRPr="005821D5" w:rsidRDefault="005821D5">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A548DE"/>
    <w:multiLevelType w:val="hybridMultilevel"/>
    <w:tmpl w:val="8EA02A5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90E48A8"/>
    <w:multiLevelType w:val="hybridMultilevel"/>
    <w:tmpl w:val="253A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1910B9"/>
    <w:multiLevelType w:val="hybridMultilevel"/>
    <w:tmpl w:val="088C4AD2"/>
    <w:lvl w:ilvl="0" w:tplc="08AAC6A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9F45B2"/>
    <w:multiLevelType w:val="hybridMultilevel"/>
    <w:tmpl w:val="269A6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E82B80"/>
    <w:multiLevelType w:val="hybridMultilevel"/>
    <w:tmpl w:val="2968F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037A13"/>
    <w:multiLevelType w:val="hybridMultilevel"/>
    <w:tmpl w:val="0C6842C6"/>
    <w:lvl w:ilvl="0" w:tplc="E3585C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EC0323"/>
    <w:multiLevelType w:val="hybridMultilevel"/>
    <w:tmpl w:val="3B6AA19E"/>
    <w:lvl w:ilvl="0" w:tplc="8BEA27B6">
      <w:start w:val="1"/>
      <w:numFmt w:val="decimal"/>
      <w:lvlText w:val="%1."/>
      <w:lvlJc w:val="left"/>
      <w:pPr>
        <w:ind w:left="1080" w:hanging="720"/>
      </w:pPr>
      <w:rPr>
        <w:rFonts w:hint="default"/>
      </w:rPr>
    </w:lvl>
    <w:lvl w:ilvl="1" w:tplc="D2C0C89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CB1D6A"/>
    <w:multiLevelType w:val="hybridMultilevel"/>
    <w:tmpl w:val="E4FEA3B2"/>
    <w:lvl w:ilvl="0" w:tplc="5D20293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7C00D0"/>
    <w:multiLevelType w:val="hybridMultilevel"/>
    <w:tmpl w:val="CA1C3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1A2FF3"/>
    <w:multiLevelType w:val="hybridMultilevel"/>
    <w:tmpl w:val="D77E8D62"/>
    <w:lvl w:ilvl="0" w:tplc="51BC088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B8182D"/>
    <w:multiLevelType w:val="hybridMultilevel"/>
    <w:tmpl w:val="68C49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9470AA"/>
    <w:multiLevelType w:val="hybridMultilevel"/>
    <w:tmpl w:val="E70C5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3F1915"/>
    <w:multiLevelType w:val="hybridMultilevel"/>
    <w:tmpl w:val="3A38DC88"/>
    <w:lvl w:ilvl="0" w:tplc="C1929A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20E1C"/>
    <w:multiLevelType w:val="hybridMultilevel"/>
    <w:tmpl w:val="05FE520A"/>
    <w:lvl w:ilvl="0" w:tplc="29B0A3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D9922B3"/>
    <w:multiLevelType w:val="hybridMultilevel"/>
    <w:tmpl w:val="DC343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2"/>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9"/>
  </w:num>
  <w:num w:numId="17" w16cid:durableId="2128498676">
    <w:abstractNumId w:val="38"/>
  </w:num>
  <w:num w:numId="18" w16cid:durableId="299724409">
    <w:abstractNumId w:val="26"/>
  </w:num>
  <w:num w:numId="19" w16cid:durableId="214585573">
    <w:abstractNumId w:val="14"/>
  </w:num>
  <w:num w:numId="20" w16cid:durableId="1289816170">
    <w:abstractNumId w:val="15"/>
  </w:num>
  <w:num w:numId="21" w16cid:durableId="1066490929">
    <w:abstractNumId w:val="40"/>
  </w:num>
  <w:num w:numId="22" w16cid:durableId="1472481103">
    <w:abstractNumId w:val="29"/>
  </w:num>
  <w:num w:numId="23" w16cid:durableId="1997420403">
    <w:abstractNumId w:val="34"/>
  </w:num>
  <w:num w:numId="24" w16cid:durableId="33312838">
    <w:abstractNumId w:val="27"/>
  </w:num>
  <w:num w:numId="25" w16cid:durableId="507404939">
    <w:abstractNumId w:val="18"/>
  </w:num>
  <w:num w:numId="26" w16cid:durableId="1950313333">
    <w:abstractNumId w:val="23"/>
  </w:num>
  <w:num w:numId="27" w16cid:durableId="1866016584">
    <w:abstractNumId w:val="20"/>
  </w:num>
  <w:num w:numId="28" w16cid:durableId="535771819">
    <w:abstractNumId w:val="41"/>
  </w:num>
  <w:num w:numId="29" w16cid:durableId="1823888159">
    <w:abstractNumId w:val="17"/>
  </w:num>
  <w:num w:numId="30" w16cid:durableId="1604459156">
    <w:abstractNumId w:val="31"/>
  </w:num>
  <w:num w:numId="31" w16cid:durableId="494077187">
    <w:abstractNumId w:val="25"/>
  </w:num>
  <w:num w:numId="32" w16cid:durableId="1012335608">
    <w:abstractNumId w:val="35"/>
  </w:num>
  <w:num w:numId="33" w16cid:durableId="1160459605">
    <w:abstractNumId w:val="28"/>
  </w:num>
  <w:num w:numId="34" w16cid:durableId="617832662">
    <w:abstractNumId w:val="10"/>
  </w:num>
  <w:num w:numId="35" w16cid:durableId="1483690864">
    <w:abstractNumId w:val="16"/>
  </w:num>
  <w:num w:numId="36" w16cid:durableId="1621104645">
    <w:abstractNumId w:val="33"/>
  </w:num>
  <w:num w:numId="37" w16cid:durableId="1790465985">
    <w:abstractNumId w:val="21"/>
  </w:num>
  <w:num w:numId="38" w16cid:durableId="1966497890">
    <w:abstractNumId w:val="37"/>
  </w:num>
  <w:num w:numId="39" w16cid:durableId="2055495475">
    <w:abstractNumId w:val="36"/>
  </w:num>
  <w:num w:numId="40" w16cid:durableId="1033771106">
    <w:abstractNumId w:val="30"/>
  </w:num>
  <w:num w:numId="41" w16cid:durableId="189729263">
    <w:abstractNumId w:val="22"/>
  </w:num>
  <w:num w:numId="42" w16cid:durableId="1475676534">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7E5"/>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0DA6"/>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3D1"/>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08B5"/>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1D22"/>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C82"/>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3CA"/>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42B"/>
    <w:rsid w:val="00146C1A"/>
    <w:rsid w:val="00150AFC"/>
    <w:rsid w:val="00151DA8"/>
    <w:rsid w:val="00152135"/>
    <w:rsid w:val="00153164"/>
    <w:rsid w:val="00153D0A"/>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3FA2"/>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5F80"/>
    <w:rsid w:val="001D694B"/>
    <w:rsid w:val="001E0D36"/>
    <w:rsid w:val="001E43E4"/>
    <w:rsid w:val="001E577A"/>
    <w:rsid w:val="001E637E"/>
    <w:rsid w:val="001E66EE"/>
    <w:rsid w:val="001E679E"/>
    <w:rsid w:val="001E6A86"/>
    <w:rsid w:val="001E6A96"/>
    <w:rsid w:val="001E6D9E"/>
    <w:rsid w:val="001E6FB8"/>
    <w:rsid w:val="001E7095"/>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1949"/>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5E5C"/>
    <w:rsid w:val="00316DC1"/>
    <w:rsid w:val="00320652"/>
    <w:rsid w:val="003213DE"/>
    <w:rsid w:val="00321446"/>
    <w:rsid w:val="00322EB1"/>
    <w:rsid w:val="00323534"/>
    <w:rsid w:val="003237DD"/>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690B"/>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0A20"/>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5FEB"/>
    <w:rsid w:val="004C64EE"/>
    <w:rsid w:val="004C686D"/>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89B"/>
    <w:rsid w:val="004F3F44"/>
    <w:rsid w:val="004F440F"/>
    <w:rsid w:val="004F457C"/>
    <w:rsid w:val="004F46AD"/>
    <w:rsid w:val="004F4C56"/>
    <w:rsid w:val="004F4F14"/>
    <w:rsid w:val="004F51E7"/>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656"/>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34C"/>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069"/>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1D5"/>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2C69"/>
    <w:rsid w:val="005C3B4F"/>
    <w:rsid w:val="005C3D2D"/>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7B"/>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713"/>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086"/>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229"/>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0D3"/>
    <w:rsid w:val="0072615B"/>
    <w:rsid w:val="007267CF"/>
    <w:rsid w:val="00727843"/>
    <w:rsid w:val="0073079A"/>
    <w:rsid w:val="00731DB0"/>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54B2"/>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11A"/>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3F3"/>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C7B7C"/>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95A"/>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DB9"/>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829"/>
    <w:rsid w:val="00854C30"/>
    <w:rsid w:val="00854C99"/>
    <w:rsid w:val="008555AD"/>
    <w:rsid w:val="008571AA"/>
    <w:rsid w:val="00860962"/>
    <w:rsid w:val="00860CBD"/>
    <w:rsid w:val="00860E69"/>
    <w:rsid w:val="00861CA3"/>
    <w:rsid w:val="00861DD6"/>
    <w:rsid w:val="00861F40"/>
    <w:rsid w:val="00862DE2"/>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1FB"/>
    <w:rsid w:val="00896FAB"/>
    <w:rsid w:val="008973E6"/>
    <w:rsid w:val="00897778"/>
    <w:rsid w:val="00897A39"/>
    <w:rsid w:val="00897BD4"/>
    <w:rsid w:val="00897C3B"/>
    <w:rsid w:val="008A08A4"/>
    <w:rsid w:val="008A0D62"/>
    <w:rsid w:val="008A1511"/>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5058"/>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34E"/>
    <w:rsid w:val="009A78A9"/>
    <w:rsid w:val="009B0854"/>
    <w:rsid w:val="009B0ADA"/>
    <w:rsid w:val="009B0F2B"/>
    <w:rsid w:val="009B1482"/>
    <w:rsid w:val="009B1B86"/>
    <w:rsid w:val="009B35DC"/>
    <w:rsid w:val="009B3740"/>
    <w:rsid w:val="009B579E"/>
    <w:rsid w:val="009B5866"/>
    <w:rsid w:val="009B5A24"/>
    <w:rsid w:val="009B6153"/>
    <w:rsid w:val="009B661F"/>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1BD"/>
    <w:rsid w:val="009D72AF"/>
    <w:rsid w:val="009D7595"/>
    <w:rsid w:val="009D7679"/>
    <w:rsid w:val="009D7C0C"/>
    <w:rsid w:val="009D7F0B"/>
    <w:rsid w:val="009E05D8"/>
    <w:rsid w:val="009E0828"/>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915"/>
    <w:rsid w:val="00A12A59"/>
    <w:rsid w:val="00A1366E"/>
    <w:rsid w:val="00A1485F"/>
    <w:rsid w:val="00A14BF4"/>
    <w:rsid w:val="00A14F1C"/>
    <w:rsid w:val="00A15660"/>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4F7E"/>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34A0"/>
    <w:rsid w:val="00BA4FE9"/>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1DA8"/>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13E"/>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12C2"/>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4C63"/>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295"/>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0810"/>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233"/>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07DB6"/>
    <w:rsid w:val="00E10293"/>
    <w:rsid w:val="00E11427"/>
    <w:rsid w:val="00E1169A"/>
    <w:rsid w:val="00E12598"/>
    <w:rsid w:val="00E13FD8"/>
    <w:rsid w:val="00E1542D"/>
    <w:rsid w:val="00E159FD"/>
    <w:rsid w:val="00E15EC4"/>
    <w:rsid w:val="00E165CF"/>
    <w:rsid w:val="00E166ED"/>
    <w:rsid w:val="00E1699F"/>
    <w:rsid w:val="00E17C80"/>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2868"/>
    <w:rsid w:val="00E93208"/>
    <w:rsid w:val="00E93E05"/>
    <w:rsid w:val="00E94568"/>
    <w:rsid w:val="00E94606"/>
    <w:rsid w:val="00E94624"/>
    <w:rsid w:val="00E94755"/>
    <w:rsid w:val="00E94862"/>
    <w:rsid w:val="00E95486"/>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6E7C"/>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16CE"/>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6ED7"/>
    <w:rsid w:val="00EF7611"/>
    <w:rsid w:val="00EF7741"/>
    <w:rsid w:val="00EF78D0"/>
    <w:rsid w:val="00EF7C69"/>
    <w:rsid w:val="00F00080"/>
    <w:rsid w:val="00F00778"/>
    <w:rsid w:val="00F01821"/>
    <w:rsid w:val="00F01D9B"/>
    <w:rsid w:val="00F043C9"/>
    <w:rsid w:val="00F04BD3"/>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2EB"/>
    <w:rsid w:val="00F2670F"/>
    <w:rsid w:val="00F26FDE"/>
    <w:rsid w:val="00F30B00"/>
    <w:rsid w:val="00F314FE"/>
    <w:rsid w:val="00F31BBD"/>
    <w:rsid w:val="00F32613"/>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498F"/>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2D6"/>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682D"/>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5A"/>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6E0B2E06-4F3C-4AE8-8B80-5502AAF7C24D}"/>
</file>

<file path=docProps/app.xml><?xml version="1.0" encoding="utf-8"?>
<Properties xmlns="http://schemas.openxmlformats.org/officeDocument/2006/extended-properties" xmlns:vt="http://schemas.openxmlformats.org/officeDocument/2006/docPropsVTypes">
  <Template>Normal.dotm</Template>
  <TotalTime>2</TotalTime>
  <Pages>3</Pages>
  <Words>647</Words>
  <Characters>4260</Characters>
  <Application>Microsoft Office Word</Application>
  <DocSecurity>0</DocSecurity>
  <Lines>88</Lines>
  <Paragraphs>64</Paragraphs>
  <ScaleCrop>false</ScaleCrop>
  <HeadingPairs>
    <vt:vector size="2" baseType="variant">
      <vt:variant>
        <vt:lpstr>Title</vt:lpstr>
      </vt:variant>
      <vt:variant>
        <vt:i4>1</vt:i4>
      </vt:variant>
    </vt:vector>
  </HeadingPairs>
  <TitlesOfParts>
    <vt:vector size="1" baseType="lpstr">
      <vt:lpstr>lanreotide injection-Somatuline Depot 2092-A SGM 2024</vt:lpstr>
    </vt:vector>
  </TitlesOfParts>
  <Company>PCS Health Systems</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lanreotide injection-Somatuline Depot SGM 2092-A</dc:title>
  <dc:subject/>
  <dc:creator>CVS Caremark</dc:creator>
  <cp:keywords/>
  <cp:lastModifiedBy>Huerta, Linda M</cp:lastModifiedBy>
  <cp:revision>6</cp:revision>
  <cp:lastPrinted>2018-01-09T05:01:00Z</cp:lastPrinted>
  <dcterms:created xsi:type="dcterms:W3CDTF">2025-03-17T18:04:00Z</dcterms:created>
  <dcterms:modified xsi:type="dcterms:W3CDTF">2025-03-17T18:10:00Z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1442900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